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before="60" w:after="60"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bookmarkStart w:id="0" w:name="_Hlk511028423"/>
      <w:r>
        <w:rPr>
          <w:rFonts w:asciiTheme="minorHAnsi" w:hAnsiTheme="minorHAnsi" w:cstheme="minorHAnsi"/>
          <w:b/>
          <w:color w:val="auto"/>
          <w:lang w:val="pl-PL"/>
        </w:rPr>
        <w:t>UMOWA  O ŚWIADCZENIE USŁUG HOTELARSKICH</w:t>
      </w:r>
    </w:p>
    <w:bookmarkEnd w:id="0"/>
    <w:p>
      <w:pPr>
        <w:spacing w:before="60" w:after="60" w:line="276" w:lineRule="auto"/>
        <w:jc w:val="center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zawarta ………………… roku w Toruniu</w:t>
      </w:r>
    </w:p>
    <w:p>
      <w:pPr>
        <w:spacing w:before="60" w:after="60" w:line="276" w:lineRule="auto"/>
        <w:jc w:val="center"/>
        <w:rPr>
          <w:rFonts w:asciiTheme="minorHAnsi" w:hAnsiTheme="minorHAnsi" w:cstheme="minorHAnsi"/>
          <w:color w:val="auto"/>
          <w:lang w:val="pl-PL"/>
        </w:rPr>
      </w:pPr>
    </w:p>
    <w:p>
      <w:pPr>
        <w:spacing w:before="60" w:after="60" w:line="276" w:lineRule="auto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pomiędzy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Toruńską Orkiestrą Symfoniczną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z siedzibą w Toruniu 87-100, przy ul. Aleja Solidarności 1-3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wpisaną do Rejestru Instytucji Kultury pod numerem 01/92,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NIP 956-142-99-17, REGON 000821027,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reprezentowaną przez: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 xml:space="preserve">Marka </w:t>
      </w:r>
      <w:proofErr w:type="spellStart"/>
      <w:r>
        <w:rPr>
          <w:rFonts w:asciiTheme="minorHAnsi" w:hAnsiTheme="minorHAnsi" w:cstheme="minorHAnsi"/>
          <w:color w:val="auto"/>
          <w:lang w:val="pl-PL"/>
        </w:rPr>
        <w:t>Czekałę</w:t>
      </w:r>
      <w:proofErr w:type="spellEnd"/>
      <w:r>
        <w:rPr>
          <w:rFonts w:asciiTheme="minorHAnsi" w:hAnsiTheme="minorHAnsi" w:cstheme="minorHAnsi"/>
          <w:color w:val="auto"/>
          <w:lang w:val="pl-PL"/>
        </w:rPr>
        <w:t xml:space="preserve"> - Dyrektora</w:t>
      </w:r>
    </w:p>
    <w:p>
      <w:pPr>
        <w:spacing w:before="60" w:after="60" w:line="276" w:lineRule="auto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 xml:space="preserve">działającą w imieniu własnym oraz </w:t>
      </w:r>
      <w:r>
        <w:rPr>
          <w:rFonts w:asciiTheme="minorHAnsi" w:hAnsiTheme="minorHAnsi" w:cstheme="minorHAnsi"/>
          <w:b/>
          <w:color w:val="auto"/>
          <w:lang w:val="pl-PL"/>
        </w:rPr>
        <w:t>Gminy Miasta Toruń</w:t>
      </w:r>
    </w:p>
    <w:p>
      <w:pPr>
        <w:spacing w:before="60" w:after="60" w:line="276" w:lineRule="auto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ul. Wały gen. Sikorskiego 8</w:t>
      </w:r>
    </w:p>
    <w:p>
      <w:pPr>
        <w:spacing w:before="60" w:after="60" w:line="276" w:lineRule="auto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NIP 879-000-10-14, REGON 871118856</w:t>
      </w:r>
    </w:p>
    <w:p>
      <w:pPr>
        <w:spacing w:before="240" w:after="240" w:line="276" w:lineRule="auto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 xml:space="preserve">zwanymi dalej łącznie </w:t>
      </w:r>
      <w:r>
        <w:rPr>
          <w:rFonts w:asciiTheme="minorHAnsi" w:hAnsiTheme="minorHAnsi" w:cstheme="minorHAnsi"/>
          <w:b/>
          <w:color w:val="auto"/>
          <w:lang w:val="pl-PL"/>
        </w:rPr>
        <w:t>„Zamawiającym”</w:t>
      </w:r>
      <w:r>
        <w:rPr>
          <w:rFonts w:asciiTheme="minorHAnsi" w:hAnsiTheme="minorHAnsi" w:cstheme="minorHAnsi"/>
          <w:color w:val="auto"/>
          <w:lang w:val="pl-PL"/>
        </w:rPr>
        <w:t>, przy czym uprawnienia Zamawiającego będzie realizowała Toruńska Orkiestra Symfoniczna</w:t>
      </w:r>
    </w:p>
    <w:p>
      <w:pPr>
        <w:spacing w:before="240" w:after="240" w:line="276" w:lineRule="auto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a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 xml:space="preserve">………………………………………………………………………………….………..…, 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z siedzibą w ………………………………………………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NIP ……………………… REGON ………………………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 xml:space="preserve">reprezentowanym przez: 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………………………………… - …………………………………</w:t>
      </w: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 xml:space="preserve">zwanym dalej </w:t>
      </w:r>
      <w:r>
        <w:rPr>
          <w:rFonts w:asciiTheme="minorHAnsi" w:hAnsiTheme="minorHAnsi" w:cstheme="minorHAnsi"/>
          <w:b/>
          <w:color w:val="auto"/>
          <w:lang w:val="pl-PL"/>
        </w:rPr>
        <w:t>„Wykonawcą”</w:t>
      </w:r>
      <w:r>
        <w:rPr>
          <w:rFonts w:asciiTheme="minorHAnsi" w:hAnsiTheme="minorHAnsi" w:cstheme="minorHAnsi"/>
          <w:color w:val="auto"/>
          <w:lang w:val="pl-PL"/>
        </w:rPr>
        <w:t>,</w:t>
      </w:r>
    </w:p>
    <w:p>
      <w:pPr>
        <w:pStyle w:val="Standard"/>
        <w:spacing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</w:p>
    <w:p>
      <w:pPr>
        <w:spacing w:before="60" w:after="60"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  <w:r>
        <w:rPr>
          <w:rFonts w:asciiTheme="minorHAnsi" w:hAnsiTheme="minorHAnsi" w:cstheme="minorHAnsi"/>
          <w:color w:val="auto"/>
          <w:lang w:val="pl-PL"/>
        </w:rPr>
        <w:t>W wyniku wyboru oferty Wykonawcy jako najkorzystniejszej w ramach części nr … zapytania ofertowego nr 2/2018 w trybie zasady konkurencyjności zostaje zawarta umowa o następującej treści:</w:t>
      </w:r>
    </w:p>
    <w:p>
      <w:pPr>
        <w:pStyle w:val="Standard"/>
        <w:spacing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1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Przedmiot  umowy</w:t>
      </w:r>
    </w:p>
    <w:p>
      <w:pPr>
        <w:pStyle w:val="Standard"/>
        <w:spacing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</w:p>
    <w:p>
      <w:pPr>
        <w:pStyle w:val="Akapitzlist"/>
        <w:widowControl/>
        <w:numPr>
          <w:ilvl w:val="0"/>
          <w:numId w:val="1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Zamawiający powierza Wykonawcy wykonanie usług hotelarskich polegających w szczególności na zapewnieniu noclegu, śniadania oraz innych usług zgodnie z opisem przedmiotu zamówienia zapytania ofertowego nr 2/2018 w części nr …, załączonym również do niniejszej umowy.</w:t>
      </w:r>
    </w:p>
    <w:p>
      <w:pPr>
        <w:pStyle w:val="Akapitzlist"/>
        <w:widowControl/>
        <w:numPr>
          <w:ilvl w:val="0"/>
          <w:numId w:val="1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lastRenderedPageBreak/>
        <w:t>Zamówienie realizowane jest w celu realizacji potrzeb „22. Międzynarodowego Festiwalu „Nova Muzyka i Architektura”, a zamawiający zamierza ubiegać się o jego dofinansowanie ze środków Unii Europejskiej – Europejskiego Funduszu Rozwoju Regionalnego w ramach Regionalnego Programu Operacyjnego Województwa Kujawsko-Pomorskiego na lata 2014-2020.</w:t>
      </w:r>
    </w:p>
    <w:p>
      <w:pPr>
        <w:pStyle w:val="Akapitzlist"/>
        <w:widowControl/>
        <w:numPr>
          <w:ilvl w:val="0"/>
          <w:numId w:val="1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bookmarkStart w:id="1" w:name="_Hlk510602163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Usługi hotelarskie będą realizowane w </w:t>
      </w:r>
      <w:bookmarkEnd w:id="1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okresie od 19 czerwca 2018 r. do 23 czerwca 2018 r., zgodnie z wymogami zapytania ofertowego.</w:t>
      </w:r>
    </w:p>
    <w:p>
      <w:pPr>
        <w:pStyle w:val="Akapitzlist"/>
        <w:widowControl/>
        <w:numPr>
          <w:ilvl w:val="0"/>
          <w:numId w:val="1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 przypadku braku odpowiednich pokoi dopuszczalne jest wykorzystanie zamiast pokoju 1-osobowego pokoju 2 lub 3-osobowego do pojedynczego wykorzystania.</w:t>
      </w:r>
    </w:p>
    <w:p>
      <w:pPr>
        <w:pStyle w:val="Akapitzlist"/>
        <w:widowControl/>
        <w:numPr>
          <w:ilvl w:val="0"/>
          <w:numId w:val="1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oświadcza, iż dysponuje tytułem prawnym do obiektu hotelarskiego …………………………………… położonego ………………………………… oraz dysponuje niezbędnymi środkami w celu należytego wykonania zamówienia.</w:t>
      </w:r>
    </w:p>
    <w:p>
      <w:pPr>
        <w:pStyle w:val="Akapitzlist"/>
        <w:widowControl/>
        <w:numPr>
          <w:ilvl w:val="0"/>
          <w:numId w:val="1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zobowiązuje się zrealizować wszystkie świadczenia określone w umowie lub specyfikacji istotnych warunków zamówienia.</w:t>
      </w: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2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Inne obowiązki Wykonawcy</w:t>
      </w:r>
    </w:p>
    <w:p>
      <w:pPr>
        <w:pStyle w:val="Standard"/>
        <w:jc w:val="center"/>
        <w:rPr>
          <w:rFonts w:cs="Calibri"/>
          <w:b/>
          <w:bCs/>
          <w:color w:val="auto"/>
          <w:lang w:val="pl-PL"/>
        </w:rPr>
      </w:pPr>
    </w:p>
    <w:p>
      <w:pPr>
        <w:pStyle w:val="Akapitzlist"/>
        <w:widowControl/>
        <w:numPr>
          <w:ilvl w:val="0"/>
          <w:numId w:val="36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zobowiązuje się do udostępniania Zamawiającemu wszelkich żądanych informacji dotyczących realizacji umowy.</w:t>
      </w:r>
    </w:p>
    <w:p>
      <w:pPr>
        <w:pStyle w:val="Akapitzlist"/>
        <w:widowControl/>
        <w:numPr>
          <w:ilvl w:val="0"/>
          <w:numId w:val="36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poinformuje niezwłocznie Zamawiającego o niewykorzystaniu zamówionych usług hotelarskich – braku wykorzystania któregoś z zamówionych pokoi.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bookmarkStart w:id="2" w:name="_Hlk509226662"/>
      <w:r>
        <w:rPr>
          <w:rFonts w:asciiTheme="minorHAnsi" w:hAnsiTheme="minorHAnsi" w:cstheme="minorHAnsi"/>
          <w:b/>
          <w:color w:val="auto"/>
          <w:lang w:val="pl-PL"/>
        </w:rPr>
        <w:t>§ 3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Harmonogram</w:t>
      </w:r>
    </w:p>
    <w:bookmarkEnd w:id="2"/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Akapitzlist"/>
        <w:widowControl/>
        <w:numPr>
          <w:ilvl w:val="0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Usługi będą świadczone przez Wykonawcę w terminach i zgodnie z wymaganą liczbą pokoi określoną w zapytaniu ofertowym nr 2/2018, z uwzględnieniem poniższych zmian.</w:t>
      </w:r>
    </w:p>
    <w:p>
      <w:pPr>
        <w:pStyle w:val="Akapitzlist"/>
        <w:widowControl/>
        <w:numPr>
          <w:ilvl w:val="0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Zamawiający, z zachowaniem odpowiedniego 7-dniowego wyprzedzenia w stosunku do terminu noclegu, może dokonać następujących zmian:</w:t>
      </w:r>
    </w:p>
    <w:p>
      <w:pPr>
        <w:pStyle w:val="Akapitzlist"/>
        <w:widowControl/>
        <w:numPr>
          <w:ilvl w:val="1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ograniczyć liczbę zamawianych noclegów we wskazanym przez siebie terminie lub zrezygnować z nich całkowicie,</w:t>
      </w:r>
    </w:p>
    <w:p>
      <w:pPr>
        <w:pStyle w:val="Akapitzlist"/>
        <w:widowControl/>
        <w:numPr>
          <w:ilvl w:val="1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zamówić dodatkową ilość noclegów we wskazanym przez siebie terminie.</w:t>
      </w:r>
    </w:p>
    <w:p>
      <w:pPr>
        <w:pStyle w:val="Akapitzlist"/>
        <w:widowControl/>
        <w:numPr>
          <w:ilvl w:val="0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Ograniczenie lub rezygnacja z noclegów nie wymaga zgody Wykonawcy i jest skuteczna z chwilą dotarcia informacji o zmianie do Wykonawcy.</w:t>
      </w:r>
    </w:p>
    <w:p>
      <w:pPr>
        <w:pStyle w:val="Akapitzlist"/>
        <w:widowControl/>
        <w:numPr>
          <w:ilvl w:val="0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Zamówienie dodatkowej ilości noclegów wymaga zgody Wykonawcy i jest skuteczne z chwilą potwierdzenia zmiany przez Wykonawcę. Wykonawca może odmówić zgody jedynie w przypadku braku możliwości świadczenia usługi hotelarskiej z uwagi na brak dostępnych pokoi w wybranym terminie w swoim obiekcie hotelarskim.</w:t>
      </w:r>
    </w:p>
    <w:p>
      <w:pPr>
        <w:pStyle w:val="Akapitzlist"/>
        <w:widowControl/>
        <w:numPr>
          <w:ilvl w:val="0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lastRenderedPageBreak/>
        <w:t>Zamawiający za zgodą Wykonawcy może dokonywać zmian w harmonogramie noclegów również po upływie terminu określonego w ust. 2.</w:t>
      </w:r>
    </w:p>
    <w:p>
      <w:pPr>
        <w:pStyle w:val="Akapitzlist"/>
        <w:widowControl/>
        <w:numPr>
          <w:ilvl w:val="0"/>
          <w:numId w:val="2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Komunikacja między stronami, o której mowa w niniejszym paragrafie będzie odbywała się za pośrednictwem poczty e-mail.</w:t>
      </w: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4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Dane osób korzystających</w:t>
      </w: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pStyle w:val="Akapitzlist"/>
        <w:widowControl/>
        <w:numPr>
          <w:ilvl w:val="0"/>
          <w:numId w:val="29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Dane osób korzystających z usług hotelarskich Zamawiający przekaże Wykonawcy najpóźniej na 5 dni przed dniem planowanego noclegu.</w:t>
      </w:r>
    </w:p>
    <w:p>
      <w:pPr>
        <w:pStyle w:val="Akapitzlist"/>
        <w:widowControl/>
        <w:numPr>
          <w:ilvl w:val="0"/>
          <w:numId w:val="29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bookmarkStart w:id="3" w:name="_Hlk509571228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jest obowiązany postępować z danymi osób nocujących zgodnie z ustawą o ochronie danych osobowych z dnia 29 sierpnia 1997 r. (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t.j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. Dz.U. z 2016 r. poz. 922 ze zm.).</w:t>
      </w:r>
    </w:p>
    <w:bookmarkEnd w:id="3"/>
    <w:p>
      <w:pPr>
        <w:pStyle w:val="Akapitzlist"/>
        <w:widowControl/>
        <w:autoSpaceDN/>
        <w:ind w:left="360"/>
        <w:contextualSpacing/>
        <w:jc w:val="both"/>
        <w:textAlignment w:val="auto"/>
        <w:rPr>
          <w:rFonts w:asciiTheme="minorHAnsi" w:hAnsiTheme="minorHAnsi" w:cstheme="minorHAnsi"/>
          <w:b/>
          <w:color w:val="auto"/>
          <w:sz w:val="24"/>
          <w:szCs w:val="24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bookmarkStart w:id="4" w:name="_Hlk509232091"/>
      <w:r>
        <w:rPr>
          <w:rFonts w:asciiTheme="minorHAnsi" w:hAnsiTheme="minorHAnsi" w:cstheme="minorHAnsi"/>
          <w:b/>
          <w:color w:val="auto"/>
          <w:lang w:val="pl-PL"/>
        </w:rPr>
        <w:t>§ 5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Cena i warunki płatności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bookmarkEnd w:id="4"/>
    <w:p>
      <w:pPr>
        <w:pStyle w:val="Akapitzlist"/>
        <w:widowControl/>
        <w:numPr>
          <w:ilvl w:val="0"/>
          <w:numId w:val="24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Wynagrodzenie z tytułu realizacji przez Wykonawcę umowy w zakresie jednej doby hotelowej pobytu w pokoju 1-osobowym wynosi ……………………………………………… złotych brutto (słownie: ………………………………………………)</w:t>
      </w:r>
    </w:p>
    <w:p>
      <w:pPr>
        <w:pStyle w:val="Akapitzlist"/>
        <w:widowControl/>
        <w:numPr>
          <w:ilvl w:val="0"/>
          <w:numId w:val="24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Wynagrodzenie Wykonawcy określone w ust. 1 jest stałe, niezależnie od ewentualnego zwiększenia lub zmniejszenia zakresu zamówienia.</w:t>
      </w:r>
    </w:p>
    <w:p>
      <w:pPr>
        <w:pStyle w:val="Akapitzlist"/>
        <w:widowControl/>
        <w:numPr>
          <w:ilvl w:val="0"/>
          <w:numId w:val="24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bookmarkStart w:id="5" w:name="_Hlk510602366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Faktura VAT zostanie wystawiona po zakończeniu realizacji umowy. Wykonawca uzyska u Zamawiającego informację, która część usług zostanie opłacona przez którego z Zamawiających.</w:t>
      </w:r>
    </w:p>
    <w:p>
      <w:pPr>
        <w:pStyle w:val="Akapitzlist"/>
        <w:widowControl/>
        <w:numPr>
          <w:ilvl w:val="0"/>
          <w:numId w:val="24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Wynagrodzenie płatne będzie w terminie 14 dni od daty otrzymania przez Zamawiającego prawidłowo wystawionej faktury VAT, na rachunek bankowy wskazany w treści faktury. </w:t>
      </w:r>
    </w:p>
    <w:bookmarkEnd w:id="5"/>
    <w:p>
      <w:pPr>
        <w:pStyle w:val="Standard"/>
        <w:spacing w:line="276" w:lineRule="auto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6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Status partnera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Akapitzlist"/>
        <w:widowControl/>
        <w:numPr>
          <w:ilvl w:val="0"/>
          <w:numId w:val="32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Za wykonanie usług w ramach umowy Zamawiający nada Wykonawcy status Partnera 22. Międzynarodowego Festiwalu „Nova Muzyka i Architektura” i zobowiązuje się do umieszczenia logotypu Wykonawcy na drukowanych materiałach promujących Festiwal 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tj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: ulotkach, plakatach, folderach, biletach, zaproszeniach oraz na stronie internetowej Festiwalu.</w:t>
      </w:r>
    </w:p>
    <w:p>
      <w:pPr>
        <w:pStyle w:val="Akapitzlist"/>
        <w:widowControl/>
        <w:numPr>
          <w:ilvl w:val="0"/>
          <w:numId w:val="32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chcąc skorzystać z przywilejów określonych w ust. 1 przekaże Zamawiającemu swój logotyp w formacie ustalonym z Zamawiającym, w ciągu 7 dni od daty podpisania umowy.</w:t>
      </w:r>
    </w:p>
    <w:p>
      <w:pPr>
        <w:pStyle w:val="Standard"/>
        <w:spacing w:line="276" w:lineRule="auto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lastRenderedPageBreak/>
        <w:t>§ 7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lang w:val="pl-PL"/>
        </w:rPr>
      </w:pPr>
      <w:r>
        <w:rPr>
          <w:rFonts w:asciiTheme="minorHAnsi" w:hAnsiTheme="minorHAnsi" w:cstheme="minorHAnsi"/>
          <w:b/>
          <w:bCs/>
          <w:color w:val="auto"/>
          <w:lang w:val="pl-PL"/>
        </w:rPr>
        <w:t>Osoby do kontaktu, komunikacja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Akapitzlist"/>
        <w:widowControl/>
        <w:numPr>
          <w:ilvl w:val="0"/>
          <w:numId w:val="3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wskazuje adres e-mail ………………………………… właściwy w celu komunikacji związanej ze zmianą zakresu zamówienia (zmniejszenie lub zwiększenie ilości noclegów we wskazanym terminie).</w:t>
      </w:r>
    </w:p>
    <w:p>
      <w:pPr>
        <w:pStyle w:val="Akapitzlist"/>
        <w:widowControl/>
        <w:numPr>
          <w:ilvl w:val="0"/>
          <w:numId w:val="3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Do bieżących uzgodnień związanych z wykonaniem niniejszej umowy strony wyznaczają i upoważniają następujące osoby:</w:t>
      </w:r>
    </w:p>
    <w:p>
      <w:pPr>
        <w:pStyle w:val="Akapitzlist"/>
        <w:widowControl/>
        <w:numPr>
          <w:ilvl w:val="1"/>
          <w:numId w:val="3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ze strony Zamawiającego.: …………….., 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tel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: ……………., e-mail: …………………..</w:t>
      </w:r>
    </w:p>
    <w:p>
      <w:pPr>
        <w:pStyle w:val="Akapitzlist"/>
        <w:widowControl/>
        <w:numPr>
          <w:ilvl w:val="1"/>
          <w:numId w:val="33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ze strony Wykonawcy: …………….., </w:t>
      </w:r>
      <w:proofErr w:type="spellStart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tel</w:t>
      </w:r>
      <w:proofErr w:type="spellEnd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: ……………., e-mail: …………………..</w:t>
      </w: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  <w:bookmarkStart w:id="6" w:name="_Hlk509300887"/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8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Odpowiedzialność stron</w:t>
      </w:r>
    </w:p>
    <w:bookmarkEnd w:id="6"/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pStyle w:val="Akapitzlist"/>
        <w:widowControl/>
        <w:numPr>
          <w:ilvl w:val="0"/>
          <w:numId w:val="3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Zamawiający nie pokrywa kosztów ewentualnych zamówień i usług złożonych przez uczestników, które nie są objęte niniejszą umową. Osoby korzystające z noclegu nie mają w tym zakresie umocowania do działania w imieniu Zamawiającego.</w:t>
      </w:r>
    </w:p>
    <w:p>
      <w:pPr>
        <w:pStyle w:val="Akapitzlist"/>
        <w:widowControl/>
        <w:numPr>
          <w:ilvl w:val="0"/>
          <w:numId w:val="3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przyjmuje do wiadomości, iż Zamawiający nie odpowiada za działania i zaniechania osób korzystających z noclegu, w szczególności wyrządzone przez nich szkody w mieniu Wykonawcy. Ewentualne roszczenia Wykonawca skieruje wobec tych osób, a nie Zamawiającego.</w:t>
      </w: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9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Jednostronne rozwiązanie umowy</w:t>
      </w:r>
    </w:p>
    <w:p>
      <w:pPr>
        <w:widowControl/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lang w:val="pl-PL"/>
        </w:rPr>
      </w:pPr>
    </w:p>
    <w:p>
      <w:pPr>
        <w:pStyle w:val="Akapitzlist"/>
        <w:widowControl/>
        <w:numPr>
          <w:ilvl w:val="0"/>
          <w:numId w:val="34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Zamawiającemu służy prawo do jednostronnego rozwiązania umowy bez zachowania terminu wypowiedzenia, w przypadku rażącego przypadku niewykonania lub nienależytego wykonania umowy przez Wykonawcę, który poddaje w wątpliwość rzetelność Wykonawcy.</w:t>
      </w:r>
    </w:p>
    <w:p>
      <w:pPr>
        <w:pStyle w:val="Akapitzlist"/>
        <w:widowControl/>
        <w:numPr>
          <w:ilvl w:val="0"/>
          <w:numId w:val="34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Zamawiającemu służy prawo do jednostronnego rozwiązania umowy bez zachowania terminu wypowiedzenia również w przypadku innych powtarzających się przypadków nienależytego wykonania umowy przez Wykonawcę, o ile wcześniej zwrócił uwagę Wykonawcy na przypadki nienależytego wykonania umowy z zagrożeniem jednostronnego rozwiązania umowy.</w:t>
      </w:r>
    </w:p>
    <w:p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line="276" w:lineRule="auto"/>
        <w:jc w:val="both"/>
        <w:rPr>
          <w:rFonts w:asciiTheme="minorHAnsi" w:hAnsiTheme="minorHAnsi" w:cstheme="minorHAnsi"/>
          <w:color w:val="auto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10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Kary umowne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color w:val="auto"/>
          <w:lang w:val="pl-PL"/>
        </w:rPr>
      </w:pPr>
    </w:p>
    <w:p>
      <w:pPr>
        <w:pStyle w:val="Akapitzlist"/>
        <w:widowControl/>
        <w:numPr>
          <w:ilvl w:val="0"/>
          <w:numId w:val="2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Wykonawca zapłaci Zamawiającemu poniższe kary umowne, odpowiednio w przypadku:</w:t>
      </w:r>
    </w:p>
    <w:p>
      <w:pPr>
        <w:pStyle w:val="Akapitzlist"/>
        <w:widowControl/>
        <w:numPr>
          <w:ilvl w:val="1"/>
          <w:numId w:val="2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lastRenderedPageBreak/>
        <w:t>niezapewnienia wymaganego pokoju – 500 zł za każde naruszenie (każdy pokój niezależnie od długości pobytu),</w:t>
      </w:r>
    </w:p>
    <w:p>
      <w:pPr>
        <w:pStyle w:val="Akapitzlist"/>
        <w:widowControl/>
        <w:numPr>
          <w:ilvl w:val="1"/>
          <w:numId w:val="2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przekazania nieprawdziwej informacji o braku dostępnych pokoi w swoim lub innym obiekcie hotelarskim spełniającym wymogi zapytania ofertowego i oferty – w wysokości 1000 zł za każde naruszenie,</w:t>
      </w:r>
    </w:p>
    <w:p>
      <w:pPr>
        <w:pStyle w:val="Akapitzlist"/>
        <w:widowControl/>
        <w:numPr>
          <w:ilvl w:val="1"/>
          <w:numId w:val="2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innego nienależytego wykonania umowy – w wysokości 200 zł za każde pierwsze naruszenie oraz 600 zł za każde kolejne naruszenie tego samego rodzaju,</w:t>
      </w:r>
    </w:p>
    <w:p>
      <w:pPr>
        <w:pStyle w:val="Akapitzlist"/>
        <w:widowControl/>
        <w:numPr>
          <w:ilvl w:val="1"/>
          <w:numId w:val="2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jednostronnego rozwiązania umowy przez Zamawiającego na podstawie § 9 – w wysokości 20% wartości niezrealizowanej części umowy.</w:t>
      </w:r>
    </w:p>
    <w:p>
      <w:pPr>
        <w:pStyle w:val="Akapitzlist"/>
        <w:widowControl/>
        <w:numPr>
          <w:ilvl w:val="0"/>
          <w:numId w:val="21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Jeżeli kara umowna nie pokryje szkody Zamawiającego, może on dochodzić odszkodowania uzupełniającego.</w:t>
      </w:r>
    </w:p>
    <w:p>
      <w:pPr>
        <w:pStyle w:val="Akapitzlist"/>
        <w:widowControl/>
        <w:autoSpaceDN/>
        <w:ind w:left="360"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§ 11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Postanowienia końcowe</w:t>
      </w:r>
    </w:p>
    <w:p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pStyle w:val="Akapitzlist"/>
        <w:widowControl/>
        <w:numPr>
          <w:ilvl w:val="0"/>
          <w:numId w:val="20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 sprawach nieuregulowanych umową zastosowanie ma prawo polskie.</w:t>
      </w:r>
    </w:p>
    <w:p>
      <w:pPr>
        <w:pStyle w:val="Akapitzlist"/>
        <w:widowControl/>
        <w:numPr>
          <w:ilvl w:val="0"/>
          <w:numId w:val="20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 xml:space="preserve">Zmiany oraz uzupełnienia </w:t>
      </w:r>
      <w:bookmarkStart w:id="7" w:name="_GoBack"/>
      <w:bookmarkEnd w:id="7"/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umowy winny być dokonane w formie pisemnej pod rygorem nieważności.</w:t>
      </w:r>
    </w:p>
    <w:p>
      <w:pPr>
        <w:pStyle w:val="Akapitzlist"/>
        <w:widowControl/>
        <w:numPr>
          <w:ilvl w:val="0"/>
          <w:numId w:val="20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Wszelkie spory między stronami wynikłe w związku albo na podstawie niniejszej umowy, będą rozstrzygane przez sąd właściwy miejscowo dla siedziby Zamawiającego.</w:t>
      </w:r>
    </w:p>
    <w:p>
      <w:pPr>
        <w:pStyle w:val="Akapitzlist"/>
        <w:widowControl/>
        <w:numPr>
          <w:ilvl w:val="0"/>
          <w:numId w:val="20"/>
        </w:numPr>
        <w:autoSpaceDN/>
        <w:contextualSpacing/>
        <w:jc w:val="both"/>
        <w:textAlignment w:val="auto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pl-PL"/>
        </w:rPr>
        <w:t>Umowę sporządzono w dwóch jednobrzmiących egzemplarzach, po jednym dla każdej ze stron.</w:t>
      </w:r>
    </w:p>
    <w:p>
      <w:pPr>
        <w:tabs>
          <w:tab w:val="left" w:pos="284"/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line="276" w:lineRule="auto"/>
        <w:ind w:left="284" w:hanging="284"/>
        <w:rPr>
          <w:rFonts w:asciiTheme="minorHAnsi" w:hAnsiTheme="minorHAnsi" w:cstheme="minorHAnsi"/>
          <w:color w:val="auto"/>
          <w:lang w:val="pl-PL"/>
        </w:rPr>
      </w:pPr>
    </w:p>
    <w:p>
      <w:pPr>
        <w:tabs>
          <w:tab w:val="left" w:pos="284"/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line="276" w:lineRule="auto"/>
        <w:ind w:left="284" w:hanging="284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  <w:r>
        <w:rPr>
          <w:rFonts w:asciiTheme="minorHAnsi" w:hAnsiTheme="minorHAnsi" w:cstheme="minorHAnsi"/>
          <w:b/>
          <w:color w:val="auto"/>
          <w:lang w:val="pl-PL"/>
        </w:rPr>
        <w:t>Z</w:t>
      </w:r>
      <w:r>
        <w:rPr>
          <w:rFonts w:asciiTheme="minorHAnsi" w:hAnsiTheme="minorHAnsi" w:cstheme="minorHAnsi"/>
          <w:b/>
          <w:bCs/>
          <w:color w:val="auto"/>
          <w:lang w:val="pl-PL"/>
        </w:rPr>
        <w:t>AMAWIAJĄCY</w:t>
      </w:r>
      <w:r>
        <w:rPr>
          <w:rFonts w:asciiTheme="minorHAnsi" w:hAnsiTheme="minorHAnsi" w:cstheme="minorHAnsi"/>
          <w:b/>
          <w:color w:val="auto"/>
          <w:lang w:val="pl-PL"/>
        </w:rPr>
        <w:t xml:space="preserve">                                                                   WYKONAWCA</w:t>
      </w:r>
    </w:p>
    <w:p>
      <w:pPr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spacing w:line="276" w:lineRule="auto"/>
        <w:jc w:val="center"/>
        <w:rPr>
          <w:rFonts w:asciiTheme="minorHAnsi" w:hAnsiTheme="minorHAnsi" w:cstheme="minorHAnsi"/>
          <w:b/>
          <w:color w:val="auto"/>
          <w:lang w:val="pl-PL"/>
        </w:rPr>
      </w:pPr>
    </w:p>
    <w:p>
      <w:pPr>
        <w:spacing w:line="276" w:lineRule="auto"/>
        <w:rPr>
          <w:rFonts w:asciiTheme="minorHAnsi" w:hAnsiTheme="minorHAnsi"/>
          <w:color w:val="auto"/>
          <w:lang w:val="pl-PL"/>
        </w:rPr>
      </w:pPr>
    </w:p>
    <w:sectPr>
      <w:headerReference w:type="default" r:id="rId7"/>
      <w:footerReference w:type="default" r:id="rId8"/>
      <w:pgSz w:w="11906" w:h="16838"/>
      <w:pgMar w:top="2126" w:right="1134" w:bottom="709" w:left="1134" w:header="56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8799125"/>
      <w:docPartObj>
        <w:docPartGallery w:val="Page Numbers (Bottom of Page)"/>
        <w:docPartUnique/>
      </w:docPartObj>
    </w:sdtPr>
    <w:sdtEndPr>
      <w:rPr>
        <w:sz w:val="22"/>
      </w:rPr>
    </w:sdtEndPr>
    <w:sdtContent>
      <w:p>
        <w:pPr>
          <w:pStyle w:val="Stopka"/>
          <w:jc w:val="center"/>
        </w:pPr>
      </w:p>
      <w:p>
        <w:pPr>
          <w:pStyle w:val="Stopka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>PAGE   \* MERGEFORMAT</w:instrText>
        </w:r>
        <w:r>
          <w:rPr>
            <w:sz w:val="22"/>
          </w:rPr>
          <w:fldChar w:fldCharType="separate"/>
        </w:r>
        <w:r>
          <w:rPr>
            <w:noProof/>
            <w:sz w:val="22"/>
            <w:lang w:val="pl-PL"/>
          </w:rPr>
          <w:t>3</w:t>
        </w:r>
        <w:r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  <w:jc w:val="center"/>
    </w:pPr>
    <w:r>
      <w:rPr>
        <w:noProof/>
      </w:rPr>
      <w:drawing>
        <wp:inline distT="0" distB="0" distL="0" distR="0">
          <wp:extent cx="5767200" cy="820800"/>
          <wp:effectExtent l="0" t="0" r="508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7200" cy="82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02AA"/>
    <w:multiLevelType w:val="multilevel"/>
    <w:tmpl w:val="EC10D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D1F2D"/>
    <w:multiLevelType w:val="multilevel"/>
    <w:tmpl w:val="54F22B2A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4B96948"/>
    <w:multiLevelType w:val="multilevel"/>
    <w:tmpl w:val="6528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C5D32"/>
    <w:multiLevelType w:val="multilevel"/>
    <w:tmpl w:val="21785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0742B"/>
    <w:multiLevelType w:val="multilevel"/>
    <w:tmpl w:val="ACEED78E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7737C34"/>
    <w:multiLevelType w:val="multilevel"/>
    <w:tmpl w:val="6528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21FEC"/>
    <w:multiLevelType w:val="multilevel"/>
    <w:tmpl w:val="B67C3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05AE"/>
    <w:multiLevelType w:val="multilevel"/>
    <w:tmpl w:val="6528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C56CF"/>
    <w:multiLevelType w:val="multilevel"/>
    <w:tmpl w:val="EC10D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24114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10" w15:restartNumberingAfterBreak="0">
    <w:nsid w:val="15D54D32"/>
    <w:multiLevelType w:val="multilevel"/>
    <w:tmpl w:val="93B40E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1AF97B7D"/>
    <w:multiLevelType w:val="multilevel"/>
    <w:tmpl w:val="761A4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62CF4"/>
    <w:multiLevelType w:val="multilevel"/>
    <w:tmpl w:val="EC10D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551CF"/>
    <w:multiLevelType w:val="hybridMultilevel"/>
    <w:tmpl w:val="76D692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15" w15:restartNumberingAfterBreak="0">
    <w:nsid w:val="1F9E38FB"/>
    <w:multiLevelType w:val="multilevel"/>
    <w:tmpl w:val="49ACB9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D5E3C"/>
    <w:multiLevelType w:val="multilevel"/>
    <w:tmpl w:val="F95A75A8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24050F5F"/>
    <w:multiLevelType w:val="multilevel"/>
    <w:tmpl w:val="6528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B7095"/>
    <w:multiLevelType w:val="multilevel"/>
    <w:tmpl w:val="6528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C1620"/>
    <w:multiLevelType w:val="multilevel"/>
    <w:tmpl w:val="FDA899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633E9F"/>
    <w:multiLevelType w:val="singleLevel"/>
    <w:tmpl w:val="96780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3D7337A3"/>
    <w:multiLevelType w:val="multilevel"/>
    <w:tmpl w:val="471A1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0694D"/>
    <w:multiLevelType w:val="multilevel"/>
    <w:tmpl w:val="F1420908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135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40" w:hanging="1800"/>
      </w:pPr>
      <w:rPr>
        <w:rFonts w:hint="default"/>
      </w:rPr>
    </w:lvl>
  </w:abstractNum>
  <w:abstractNum w:abstractNumId="23" w15:restartNumberingAfterBreak="0">
    <w:nsid w:val="3E1C0847"/>
    <w:multiLevelType w:val="multilevel"/>
    <w:tmpl w:val="8D9C192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F121E2"/>
    <w:multiLevelType w:val="multilevel"/>
    <w:tmpl w:val="121E60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6" w15:restartNumberingAfterBreak="0">
    <w:nsid w:val="513A53AE"/>
    <w:multiLevelType w:val="multilevel"/>
    <w:tmpl w:val="EC10D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53A89"/>
    <w:multiLevelType w:val="multilevel"/>
    <w:tmpl w:val="EC10D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A281E"/>
    <w:multiLevelType w:val="multilevel"/>
    <w:tmpl w:val="6528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46713"/>
    <w:multiLevelType w:val="multilevel"/>
    <w:tmpl w:val="36524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47470"/>
    <w:multiLevelType w:val="multilevel"/>
    <w:tmpl w:val="86EA5BBE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7020C90"/>
    <w:multiLevelType w:val="multilevel"/>
    <w:tmpl w:val="53BA9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A38F1"/>
    <w:multiLevelType w:val="hybridMultilevel"/>
    <w:tmpl w:val="833E64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BD16DC4"/>
    <w:multiLevelType w:val="multilevel"/>
    <w:tmpl w:val="69E2A1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95701"/>
    <w:multiLevelType w:val="multilevel"/>
    <w:tmpl w:val="EC10D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4"/>
  </w:num>
  <w:num w:numId="4">
    <w:abstractNumId w:val="1"/>
  </w:num>
  <w:num w:numId="5">
    <w:abstractNumId w:val="14"/>
    <w:lvlOverride w:ilvl="0">
      <w:startOverride w:val="1"/>
    </w:lvlOverride>
  </w:num>
  <w:num w:numId="6">
    <w:abstractNumId w:val="16"/>
  </w:num>
  <w:num w:numId="7">
    <w:abstractNumId w:val="10"/>
  </w:num>
  <w:num w:numId="8">
    <w:abstractNumId w:val="22"/>
  </w:num>
  <w:num w:numId="9">
    <w:abstractNumId w:val="25"/>
  </w:num>
  <w:num w:numId="10">
    <w:abstractNumId w:val="9"/>
  </w:num>
  <w:num w:numId="11">
    <w:abstractNumId w:val="28"/>
  </w:num>
  <w:num w:numId="12">
    <w:abstractNumId w:val="19"/>
  </w:num>
  <w:num w:numId="13">
    <w:abstractNumId w:val="33"/>
  </w:num>
  <w:num w:numId="14">
    <w:abstractNumId w:val="3"/>
  </w:num>
  <w:num w:numId="15">
    <w:abstractNumId w:val="6"/>
  </w:num>
  <w:num w:numId="16">
    <w:abstractNumId w:val="15"/>
  </w:num>
  <w:num w:numId="17">
    <w:abstractNumId w:val="21"/>
  </w:num>
  <w:num w:numId="18">
    <w:abstractNumId w:val="23"/>
  </w:num>
  <w:num w:numId="19">
    <w:abstractNumId w:val="11"/>
  </w:num>
  <w:num w:numId="20">
    <w:abstractNumId w:val="24"/>
  </w:num>
  <w:num w:numId="21">
    <w:abstractNumId w:val="29"/>
  </w:num>
  <w:num w:numId="22">
    <w:abstractNumId w:val="31"/>
  </w:num>
  <w:num w:numId="23">
    <w:abstractNumId w:val="7"/>
  </w:num>
  <w:num w:numId="24">
    <w:abstractNumId w:val="12"/>
  </w:num>
  <w:num w:numId="25">
    <w:abstractNumId w:val="17"/>
  </w:num>
  <w:num w:numId="26">
    <w:abstractNumId w:val="20"/>
  </w:num>
  <w:num w:numId="27">
    <w:abstractNumId w:val="13"/>
  </w:num>
  <w:num w:numId="28">
    <w:abstractNumId w:val="32"/>
  </w:num>
  <w:num w:numId="29">
    <w:abstractNumId w:val="18"/>
  </w:num>
  <w:num w:numId="30">
    <w:abstractNumId w:val="34"/>
  </w:num>
  <w:num w:numId="31">
    <w:abstractNumId w:val="8"/>
  </w:num>
  <w:num w:numId="32">
    <w:abstractNumId w:val="0"/>
  </w:num>
  <w:num w:numId="33">
    <w:abstractNumId w:val="27"/>
  </w:num>
  <w:num w:numId="34">
    <w:abstractNumId w:val="26"/>
  </w:num>
  <w:num w:numId="35">
    <w:abstractNumId w:val="5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DF1B1F-E3B2-4152-B3D7-11D3EC62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kapitzlist">
    <w:name w:val="List Paragraph"/>
    <w:basedOn w:val="Standard"/>
    <w:link w:val="AkapitzlistZnak"/>
    <w:uiPriority w:val="34"/>
    <w:qFormat/>
    <w:pPr>
      <w:spacing w:after="200" w:line="276" w:lineRule="auto"/>
      <w:ind w:left="720"/>
    </w:pPr>
    <w:rPr>
      <w:rFonts w:eastAsia="Calibri" w:cs="Calibri"/>
      <w:sz w:val="22"/>
      <w:szCs w:val="22"/>
    </w:rPr>
  </w:style>
  <w:style w:type="paragraph" w:customStyle="1" w:styleId="StylSIWZv3">
    <w:name w:val="Styl SIWZ v3"/>
    <w:basedOn w:val="Akapitzlist"/>
    <w:pPr>
      <w:spacing w:before="120" w:after="240"/>
      <w:jc w:val="both"/>
    </w:pPr>
    <w:rPr>
      <w:b/>
      <w:sz w:val="24"/>
      <w:szCs w:val="24"/>
    </w:rPr>
  </w:style>
  <w:style w:type="paragraph" w:customStyle="1" w:styleId="Default">
    <w:name w:val="Default"/>
    <w:rPr>
      <w:rFonts w:ascii="Arial" w:eastAsia="Arial" w:hAnsi="Arial" w:cs="Aria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Character20style">
    <w:name w:val="Character_20_style"/>
    <w:rPr>
      <w:sz w:val="24"/>
      <w:szCs w:val="24"/>
    </w:rPr>
  </w:style>
  <w:style w:type="character" w:customStyle="1" w:styleId="WW8Num9z0">
    <w:name w:val="WW8Num9z0"/>
    <w:rPr>
      <w:rFonts w:ascii="Trebuchet MS" w:eastAsia="Trebuchet MS" w:hAnsi="Trebuchet MS" w:cs="Times New Roman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numbering" w:customStyle="1" w:styleId="WWNum4">
    <w:name w:val="WWNum4"/>
    <w:basedOn w:val="Bezlisty"/>
    <w:pPr>
      <w:numPr>
        <w:numId w:val="1"/>
      </w:numPr>
    </w:pPr>
  </w:style>
  <w:style w:type="numbering" w:customStyle="1" w:styleId="WW8Num9">
    <w:name w:val="WW8Num9"/>
    <w:basedOn w:val="Bezlisty"/>
    <w:pPr>
      <w:numPr>
        <w:numId w:val="2"/>
      </w:numPr>
    </w:pPr>
  </w:style>
  <w:style w:type="numbering" w:customStyle="1" w:styleId="WW8Num11">
    <w:name w:val="WW8Num11"/>
    <w:basedOn w:val="Bezlisty"/>
    <w:pPr>
      <w:numPr>
        <w:numId w:val="3"/>
      </w:numPr>
    </w:pPr>
  </w:style>
  <w:style w:type="numbering" w:customStyle="1" w:styleId="WW8Num14">
    <w:name w:val="WW8Num14"/>
    <w:basedOn w:val="Bezlisty"/>
    <w:pPr>
      <w:numPr>
        <w:numId w:val="4"/>
      </w:numPr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Pr>
      <w:rFonts w:eastAsia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Pr>
      <w:rFonts w:cs="Palatino Linotype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1159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Rogalewicz</dc:creator>
  <cp:lastModifiedBy>Grzegorz Rogalewicz</cp:lastModifiedBy>
  <cp:revision>36</cp:revision>
  <cp:lastPrinted>2018-03-22T14:18:00Z</cp:lastPrinted>
  <dcterms:created xsi:type="dcterms:W3CDTF">2018-03-22T14:14:00Z</dcterms:created>
  <dcterms:modified xsi:type="dcterms:W3CDTF">2018-04-26T09:47:00Z</dcterms:modified>
  <cp:contentStatus/>
</cp:coreProperties>
</file>